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6B849">
      <w:pPr>
        <w:spacing w:before="155" w:line="229" w:lineRule="auto"/>
        <w:ind w:left="77"/>
        <w:outlineLvl w:val="0"/>
        <w:rPr>
          <w:rFonts w:hint="eastAsia" w:ascii="黑体" w:hAnsi="黑体" w:eastAsia="黑体" w:cs="黑体"/>
          <w:spacing w:val="-5"/>
          <w:sz w:val="32"/>
          <w:szCs w:val="32"/>
          <w:highlight w:val="none"/>
          <w:lang w:val="en-US" w:eastAsia="zh-CN"/>
        </w:rPr>
      </w:pPr>
      <w:r>
        <w:rPr>
          <w:rFonts w:ascii="黑体" w:hAnsi="黑体" w:eastAsia="黑体" w:cs="黑体"/>
          <w:spacing w:val="-5"/>
          <w:sz w:val="32"/>
          <w:szCs w:val="32"/>
          <w:highlight w:val="none"/>
        </w:rPr>
        <w:t>附件</w:t>
      </w:r>
      <w:r>
        <w:rPr>
          <w:rFonts w:hint="eastAsia" w:ascii="黑体" w:hAnsi="黑体" w:eastAsia="黑体" w:cs="黑体"/>
          <w:spacing w:val="-5"/>
          <w:sz w:val="32"/>
          <w:szCs w:val="32"/>
          <w:highlight w:val="none"/>
          <w:lang w:val="en-US" w:eastAsia="zh-CN"/>
        </w:rPr>
        <w:t>2</w:t>
      </w:r>
    </w:p>
    <w:p w14:paraId="1B39E3BD">
      <w:pPr>
        <w:spacing w:before="155" w:line="229" w:lineRule="auto"/>
        <w:ind w:left="77"/>
        <w:outlineLvl w:val="0"/>
        <w:rPr>
          <w:rFonts w:hint="eastAsia" w:ascii="黑体" w:hAnsi="黑体" w:eastAsia="黑体" w:cs="黑体"/>
          <w:spacing w:val="-5"/>
          <w:sz w:val="28"/>
          <w:szCs w:val="28"/>
          <w:lang w:val="en-US" w:eastAsia="zh-CN"/>
        </w:rPr>
      </w:pPr>
    </w:p>
    <w:p w14:paraId="3EDB2B22">
      <w:pPr>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东岸产业园区基础设施综合改造项目（双山隧道及南延配套工程）四标段路灯工程配套辅材采购项目</w:t>
      </w: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w:t>
      </w:r>
      <w:r>
        <w:rPr>
          <w:rFonts w:hint="eastAsia" w:ascii="黑体" w:hAnsi="宋体" w:eastAsia="黑体"/>
          <w:sz w:val="32"/>
          <w:szCs w:val="32"/>
          <w:u w:val="single"/>
          <w:lang w:val="en-US" w:eastAsia="zh-CN"/>
        </w:rPr>
        <w:t>诚光城市照明工程</w:t>
      </w:r>
      <w:r>
        <w:rPr>
          <w:rFonts w:hint="eastAsia" w:ascii="黑体" w:hAnsi="宋体" w:eastAsia="黑体"/>
          <w:sz w:val="32"/>
          <w:szCs w:val="32"/>
          <w:u w:val="single"/>
        </w:rPr>
        <w:t>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w:t>
      </w:r>
      <w:r>
        <w:rPr>
          <w:rFonts w:hint="eastAsia" w:ascii="黑体" w:hAnsi="宋体" w:eastAsia="黑体"/>
          <w:sz w:val="32"/>
          <w:szCs w:val="32"/>
          <w:highlight w:val="none"/>
          <w:u w:val="single"/>
        </w:rPr>
        <w:t xml:space="preserve">   二〇二</w:t>
      </w:r>
      <w:r>
        <w:rPr>
          <w:rFonts w:hint="eastAsia" w:ascii="黑体" w:hAnsi="宋体" w:eastAsia="黑体"/>
          <w:sz w:val="32"/>
          <w:szCs w:val="32"/>
          <w:highlight w:val="none"/>
          <w:u w:val="single"/>
          <w:lang w:val="en-US" w:eastAsia="zh-CN"/>
        </w:rPr>
        <w:t>六</w:t>
      </w:r>
      <w:r>
        <w:rPr>
          <w:rFonts w:hint="eastAsia" w:ascii="黑体" w:hAnsi="宋体" w:eastAsia="黑体"/>
          <w:sz w:val="32"/>
          <w:szCs w:val="32"/>
          <w:highlight w:val="none"/>
          <w:u w:val="single"/>
        </w:rPr>
        <w:t>年</w:t>
      </w:r>
      <w:r>
        <w:rPr>
          <w:rFonts w:hint="eastAsia" w:ascii="黑体" w:hAnsi="宋体" w:eastAsia="黑体"/>
          <w:sz w:val="32"/>
          <w:szCs w:val="32"/>
          <w:highlight w:val="none"/>
          <w:u w:val="single"/>
          <w:lang w:val="en-US" w:eastAsia="zh-CN"/>
        </w:rPr>
        <w:t>二</w:t>
      </w:r>
      <w:r>
        <w:rPr>
          <w:rFonts w:hint="eastAsia" w:ascii="黑体" w:hAnsi="宋体" w:eastAsia="黑体"/>
          <w:sz w:val="32"/>
          <w:szCs w:val="32"/>
          <w:highlight w:val="none"/>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0A9D497">
      <w:pPr>
        <w:spacing w:before="100" w:beforeAutospacing="1" w:after="100" w:afterAutospacing="1" w:line="440" w:lineRule="exact"/>
        <w:jc w:val="both"/>
        <w:rPr>
          <w:rFonts w:hint="eastAsia" w:ascii="宋体" w:hAnsi="宋体"/>
          <w:b/>
          <w:spacing w:val="-2"/>
          <w:sz w:val="36"/>
          <w:szCs w:val="36"/>
        </w:rPr>
      </w:pPr>
    </w:p>
    <w:p w14:paraId="53311443">
      <w:pPr>
        <w:spacing w:before="100" w:beforeAutospacing="1" w:after="100" w:afterAutospacing="1" w:line="440" w:lineRule="exact"/>
        <w:jc w:val="both"/>
        <w:rPr>
          <w:rFonts w:hint="eastAsia" w:ascii="宋体" w:hAnsi="宋体"/>
          <w:b/>
          <w:spacing w:val="-2"/>
          <w:sz w:val="36"/>
          <w:szCs w:val="36"/>
        </w:rPr>
      </w:pPr>
    </w:p>
    <w:p w14:paraId="1BC89AAB">
      <w:pPr>
        <w:spacing w:before="100" w:beforeAutospacing="1" w:after="100" w:afterAutospacing="1" w:line="440" w:lineRule="exact"/>
        <w:jc w:val="both"/>
        <w:rPr>
          <w:rFonts w:hint="eastAsia" w:ascii="宋体" w:hAnsi="宋体"/>
          <w:b/>
          <w:spacing w:val="-2"/>
          <w:sz w:val="36"/>
          <w:szCs w:val="36"/>
        </w:rPr>
      </w:pPr>
    </w:p>
    <w:p w14:paraId="60A4F998">
      <w:pPr>
        <w:spacing w:before="100" w:beforeAutospacing="1" w:after="100" w:afterAutospacing="1" w:line="440" w:lineRule="exact"/>
        <w:jc w:val="both"/>
        <w:rPr>
          <w:rFonts w:hint="eastAsia" w:ascii="宋体" w:hAnsi="宋体"/>
          <w:b/>
          <w:spacing w:val="-2"/>
          <w:sz w:val="36"/>
          <w:szCs w:val="36"/>
        </w:rPr>
      </w:pPr>
    </w:p>
    <w:p w14:paraId="40A690B8">
      <w:pPr>
        <w:spacing w:before="100" w:beforeAutospacing="1" w:after="100" w:afterAutospacing="1" w:line="440" w:lineRule="exact"/>
        <w:jc w:val="both"/>
        <w:rPr>
          <w:rFonts w:hint="eastAsia" w:ascii="宋体" w:hAnsi="宋体"/>
          <w:b/>
          <w:spacing w:val="-2"/>
          <w:sz w:val="36"/>
          <w:szCs w:val="36"/>
        </w:rPr>
      </w:pPr>
    </w:p>
    <w:p w14:paraId="665E14CF">
      <w:pPr>
        <w:spacing w:before="100" w:beforeAutospacing="1" w:after="100" w:afterAutospacing="1" w:line="440" w:lineRule="exact"/>
        <w:jc w:val="center"/>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东岸产业园区基础设施综合改造项目（双山隧道及南延配套工程）四标段路灯工程配套辅材采购项目</w:t>
      </w: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3"/>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3F3F04AA">
            <w:pPr>
              <w:spacing w:before="100" w:beforeAutospacing="1" w:after="100" w:afterAutospacing="1" w:line="440" w:lineRule="exact"/>
              <w:ind w:firstLine="480" w:firstLineChars="200"/>
              <w:jc w:val="left"/>
              <w:rPr>
                <w:rFonts w:hint="eastAsia" w:ascii="仿宋_GB2312" w:hAnsi="宋体" w:eastAsia="仿宋_GB2312"/>
                <w:sz w:val="24"/>
              </w:rPr>
            </w:pPr>
            <w:r>
              <w:rPr>
                <w:rFonts w:hint="eastAsia" w:ascii="仿宋_GB2312" w:hAnsi="Calibri" w:eastAsia="仿宋_GB2312" w:cs="微软雅黑"/>
                <w:kern w:val="0"/>
                <w:sz w:val="24"/>
                <w:szCs w:val="24"/>
                <w:highlight w:val="none"/>
                <w:lang w:val="en-US" w:eastAsia="zh-CN"/>
              </w:rPr>
              <w:t>青岛诚光城市照明工程有限公司（以下简称“采购人”）对东岸产业园区基础设施综合改造项目（双山隧道及南延配套工程）四标段路灯工程配套辅材采购项目进行询价采购，特邀请符合资质要求且有兴趣的单位参与该项目询价。如有意向，请于2026年2月25日9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eastAsia="仿宋_GB2312"/>
                <w:sz w:val="24"/>
                <w:szCs w:val="24"/>
              </w:rPr>
            </w:pPr>
            <w:r>
              <w:rPr>
                <w:rFonts w:hint="eastAsia" w:ascii="仿宋_GB2312" w:hAnsi="宋体" w:eastAsia="仿宋_GB2312"/>
                <w:sz w:val="24"/>
                <w:szCs w:val="24"/>
              </w:rPr>
              <w:t>项目名称</w:t>
            </w:r>
          </w:p>
        </w:tc>
        <w:tc>
          <w:tcPr>
            <w:tcW w:w="7837" w:type="dxa"/>
            <w:gridSpan w:val="4"/>
            <w:noWrap w:val="0"/>
            <w:vAlign w:val="center"/>
          </w:tcPr>
          <w:p w14:paraId="3CA1759B">
            <w:pPr>
              <w:spacing w:before="100" w:beforeAutospacing="1" w:after="100" w:afterAutospacing="1" w:line="440" w:lineRule="exact"/>
              <w:jc w:val="center"/>
              <w:rPr>
                <w:rFonts w:hint="eastAsia" w:ascii="仿宋_GB2312" w:hAnsi="宋体" w:eastAsia="仿宋_GB2312"/>
                <w:sz w:val="24"/>
                <w:szCs w:val="24"/>
              </w:rPr>
            </w:pPr>
            <w:r>
              <w:rPr>
                <w:rFonts w:hint="eastAsia" w:ascii="仿宋_GB2312" w:hAnsi="Calibri" w:eastAsia="仿宋_GB2312" w:cs="微软雅黑"/>
                <w:kern w:val="0"/>
                <w:sz w:val="24"/>
                <w:szCs w:val="24"/>
                <w:highlight w:val="none"/>
                <w:lang w:val="en-US" w:eastAsia="zh-CN"/>
              </w:rPr>
              <w:t>东岸产业园区基础设施综合改造项目（双山隧道及南延配套工程）四标段路灯工程配套辅材采购项目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68" w:type="dxa"/>
            <w:gridSpan w:val="5"/>
            <w:noWrap w:val="0"/>
            <w:vAlign w:val="top"/>
          </w:tcPr>
          <w:p w14:paraId="70C6885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仿宋_GB2312" w:hAnsi="Calibri" w:eastAsia="仿宋_GB2312" w:cs="微软雅黑"/>
                <w:kern w:val="0"/>
                <w:sz w:val="24"/>
                <w:szCs w:val="24"/>
                <w:highlight w:val="none"/>
                <w:lang w:val="en-US" w:eastAsia="zh-CN"/>
              </w:rPr>
            </w:pPr>
            <w:r>
              <w:rPr>
                <w:rFonts w:hint="eastAsia" w:ascii="仿宋_GB2312" w:hAnsi="宋体" w:eastAsia="仿宋_GB2312" w:cs="仿宋_GB2312"/>
                <w:sz w:val="24"/>
                <w:szCs w:val="24"/>
                <w:lang w:val="en-US" w:eastAsia="zh-CN"/>
              </w:rPr>
              <w:t>1.</w:t>
            </w:r>
            <w:r>
              <w:rPr>
                <w:rFonts w:hint="eastAsia" w:ascii="仿宋_GB2312" w:hAnsi="宋体" w:eastAsia="仿宋_GB2312" w:cs="仿宋_GB2312"/>
                <w:sz w:val="24"/>
                <w:szCs w:val="24"/>
              </w:rPr>
              <w:t>采购内容</w:t>
            </w:r>
            <w:r>
              <w:rPr>
                <w:rFonts w:hint="eastAsia" w:ascii="仿宋_GB2312" w:hAnsi="宋体" w:eastAsia="仿宋_GB2312" w:cs="仿宋_GB2312"/>
                <w:sz w:val="24"/>
                <w:szCs w:val="24"/>
                <w:lang w:val="en-US" w:eastAsia="zh-CN"/>
              </w:rPr>
              <w:t>及要求</w:t>
            </w:r>
            <w:r>
              <w:rPr>
                <w:rFonts w:hint="eastAsia" w:ascii="仿宋_GB2312" w:hAnsi="宋体" w:eastAsia="仿宋_GB2312" w:cs="仿宋_GB2312"/>
                <w:sz w:val="24"/>
                <w:szCs w:val="24"/>
              </w:rPr>
              <w:t>：</w:t>
            </w:r>
            <w:r>
              <w:rPr>
                <w:rFonts w:hint="eastAsia" w:ascii="仿宋_GB2312" w:hAnsi="宋体" w:eastAsia="仿宋_GB2312" w:cs="仿宋_GB2312"/>
                <w:sz w:val="24"/>
                <w:szCs w:val="24"/>
                <w:lang w:val="en-US" w:eastAsia="zh-CN"/>
              </w:rPr>
              <w:t>采购内容详见采购需求，所供货物须满足需求样式及参数要求，</w:t>
            </w:r>
            <w:r>
              <w:rPr>
                <w:rFonts w:hint="eastAsia" w:ascii="仿宋_GB2312" w:hAnsi="Calibri" w:eastAsia="仿宋_GB2312" w:cs="微软雅黑"/>
                <w:kern w:val="0"/>
                <w:sz w:val="24"/>
                <w:szCs w:val="24"/>
                <w:highlight w:val="none"/>
                <w:lang w:val="en-US" w:eastAsia="zh-CN"/>
              </w:rPr>
              <w:t>响应人应保证货物的技术要求和质量标准符合国家、地方、行业规定标准，质保期不得少于1年。</w:t>
            </w:r>
          </w:p>
          <w:p w14:paraId="4643CA8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3.采购预算：14.72万元</w:t>
            </w:r>
            <w:r>
              <w:rPr>
                <w:rFonts w:hint="eastAsia" w:ascii="仿宋_GB2312" w:hAnsi="Calibri" w:eastAsia="仿宋_GB2312" w:cs="微软雅黑"/>
                <w:kern w:val="0"/>
                <w:sz w:val="24"/>
                <w:szCs w:val="24"/>
                <w:highlight w:val="none"/>
                <w:lang w:val="zh-CN" w:eastAsia="zh-CN"/>
              </w:rPr>
              <w:t>。</w:t>
            </w:r>
          </w:p>
          <w:p w14:paraId="01B90BA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4.报价：报价采用全费用报价模式，即包含运费、装卸费、税金等全部相关费用。</w:t>
            </w:r>
          </w:p>
          <w:p w14:paraId="248E4979">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eastAsia="仿宋_GB2312" w:cs="微软雅黑"/>
                <w:kern w:val="0"/>
                <w:sz w:val="24"/>
                <w:szCs w:val="24"/>
                <w:highlight w:val="none"/>
                <w:lang w:val="zh-CN"/>
              </w:rPr>
            </w:pPr>
            <w:r>
              <w:rPr>
                <w:rFonts w:hint="eastAsia" w:ascii="仿宋_GB2312" w:hAnsi="Calibri" w:eastAsia="仿宋_GB2312" w:cs="微软雅黑"/>
                <w:kern w:val="0"/>
                <w:sz w:val="24"/>
                <w:szCs w:val="24"/>
                <w:highlight w:val="none"/>
                <w:lang w:val="en-US" w:eastAsia="zh-CN"/>
              </w:rPr>
              <w:t>5</w:t>
            </w:r>
            <w:r>
              <w:rPr>
                <w:rFonts w:hint="eastAsia" w:ascii="仿宋_GB2312" w:hAnsi="Calibri" w:eastAsia="仿宋_GB2312" w:cs="微软雅黑"/>
                <w:kern w:val="0"/>
                <w:sz w:val="24"/>
                <w:szCs w:val="24"/>
                <w:highlight w:val="none"/>
                <w:lang w:val="zh-CN" w:eastAsia="zh-CN"/>
              </w:rPr>
              <w:t>.询价响应文件</w:t>
            </w:r>
            <w:r>
              <w:rPr>
                <w:rFonts w:hint="eastAsia" w:ascii="仿宋_GB2312" w:hAnsi="Calibri" w:eastAsia="仿宋_GB2312" w:cs="微软雅黑"/>
                <w:kern w:val="0"/>
                <w:sz w:val="24"/>
                <w:szCs w:val="24"/>
                <w:highlight w:val="none"/>
                <w:lang w:val="en-US" w:eastAsia="zh-CN"/>
              </w:rPr>
              <w:t>包括</w:t>
            </w:r>
            <w:r>
              <w:rPr>
                <w:rFonts w:hint="eastAsia" w:ascii="仿宋_GB2312" w:hAnsi="Calibri" w:eastAsia="仿宋_GB2312" w:cs="微软雅黑"/>
                <w:kern w:val="0"/>
                <w:sz w:val="24"/>
                <w:szCs w:val="24"/>
                <w:highlight w:val="none"/>
                <w:lang w:val="zh-CN" w:eastAsia="zh-CN"/>
              </w:rPr>
              <w:t>：报价、</w:t>
            </w:r>
            <w:r>
              <w:rPr>
                <w:rFonts w:hint="eastAsia" w:ascii="仿宋_GB2312" w:hAnsi="Calibri" w:eastAsia="仿宋_GB2312" w:cs="微软雅黑"/>
                <w:kern w:val="0"/>
                <w:sz w:val="24"/>
                <w:szCs w:val="24"/>
                <w:highlight w:val="none"/>
                <w:lang w:val="en-US" w:eastAsia="zh-CN"/>
              </w:rPr>
              <w:t>产品技术水平证明文件（包含但不限于产品介绍、产品检验报告、出厂合格证、产品证书等）、账期、质保期承诺书、供货方案（方案需具备完整性与详尽性，兼具可行性与可操作性，并充分契合项目需求）、售后服务方案（内容应包含但不限于服务人员配备、响应时间、解决方案、紧急情况处理预案等）</w:t>
            </w:r>
            <w:r>
              <w:rPr>
                <w:rFonts w:hint="eastAsia" w:ascii="仿宋_GB2312" w:hAnsi="Calibri" w:eastAsia="仿宋_GB2312" w:cs="微软雅黑"/>
                <w:kern w:val="0"/>
                <w:sz w:val="24"/>
                <w:szCs w:val="24"/>
                <w:highlight w:val="none"/>
                <w:lang w:val="zh-CN" w:eastAsia="zh-CN"/>
              </w:rPr>
              <w:t>声明函、营业执照副本复印件、信用查询情况截图、报价单位认为应介绍或者提交的资料、文件和说明。内容按附件格式，复印</w:t>
            </w:r>
            <w:r>
              <w:rPr>
                <w:rFonts w:hint="eastAsia" w:ascii="仿宋_GB2312" w:eastAsia="仿宋_GB2312" w:cs="微软雅黑"/>
                <w:kern w:val="0"/>
                <w:sz w:val="24"/>
                <w:szCs w:val="24"/>
                <w:highlight w:val="none"/>
                <w:lang w:val="zh-CN"/>
              </w:rPr>
              <w:t>件均需加盖公章并装订。</w:t>
            </w:r>
          </w:p>
          <w:p w14:paraId="634754DD">
            <w:pPr>
              <w:spacing w:line="480" w:lineRule="exact"/>
              <w:ind w:firstLine="480" w:firstLineChars="200"/>
              <w:rPr>
                <w:rFonts w:hint="eastAsia" w:ascii="仿宋_GB2312" w:eastAsia="仿宋_GB2312" w:cs="微软雅黑"/>
                <w:kern w:val="0"/>
                <w:sz w:val="24"/>
                <w:szCs w:val="24"/>
                <w:lang w:val="zh-CN"/>
              </w:rPr>
            </w:pPr>
            <w:r>
              <w:rPr>
                <w:rFonts w:hint="eastAsia" w:ascii="仿宋_GB2312" w:eastAsia="仿宋_GB2312" w:cs="微软雅黑"/>
                <w:kern w:val="0"/>
                <w:sz w:val="24"/>
                <w:szCs w:val="24"/>
                <w:highlight w:val="none"/>
                <w:lang w:val="en-US" w:eastAsia="zh-CN"/>
              </w:rPr>
              <w:t>6</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lang w:val="en-US" w:eastAsia="zh-CN"/>
              </w:rPr>
              <w:t>评标方法</w:t>
            </w:r>
            <w:r>
              <w:rPr>
                <w:rFonts w:hint="eastAsia" w:ascii="仿宋_GB2312" w:eastAsia="仿宋_GB2312" w:cs="微软雅黑"/>
                <w:kern w:val="0"/>
                <w:sz w:val="24"/>
                <w:szCs w:val="24"/>
                <w:lang w:val="zh-CN"/>
              </w:rPr>
              <w:t>：</w:t>
            </w:r>
            <w:r>
              <w:rPr>
                <w:rFonts w:hint="eastAsia" w:ascii="仿宋_GB2312" w:eastAsia="仿宋_GB2312" w:cs="微软雅黑"/>
                <w:kern w:val="0"/>
                <w:sz w:val="24"/>
                <w:szCs w:val="24"/>
                <w:highlight w:val="none"/>
                <w:lang w:val="en-US" w:eastAsia="zh-CN"/>
              </w:rPr>
              <w:t>综合评分法</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shd w:val="clear" w:color="auto" w:fill="auto"/>
            <w:noWrap w:val="0"/>
            <w:vAlign w:val="center"/>
          </w:tcPr>
          <w:p w14:paraId="3CBF1DD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highlight w:val="none"/>
              </w:rPr>
              <w:t>付款方式</w:t>
            </w:r>
          </w:p>
        </w:tc>
        <w:tc>
          <w:tcPr>
            <w:tcW w:w="7158" w:type="dxa"/>
            <w:gridSpan w:val="3"/>
            <w:shd w:val="clear" w:color="auto" w:fill="auto"/>
            <w:noWrap w:val="0"/>
            <w:vAlign w:val="center"/>
          </w:tcPr>
          <w:p w14:paraId="2AA95B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shd w:val="clear" w:color="auto" w:fill="auto"/>
            <w:noWrap w:val="0"/>
            <w:vAlign w:val="center"/>
          </w:tcPr>
          <w:p w14:paraId="3B44CD06">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lang w:val="en-US" w:eastAsia="zh-CN"/>
              </w:rPr>
              <w:t>服务时间</w:t>
            </w:r>
          </w:p>
        </w:tc>
        <w:tc>
          <w:tcPr>
            <w:tcW w:w="7158" w:type="dxa"/>
            <w:gridSpan w:val="3"/>
            <w:shd w:val="clear" w:color="auto" w:fill="auto"/>
            <w:noWrap w:val="0"/>
            <w:vAlign w:val="center"/>
          </w:tcPr>
          <w:p w14:paraId="6E6BDDA7">
            <w:pPr>
              <w:tabs>
                <w:tab w:val="left" w:pos="2553"/>
                <w:tab w:val="center" w:pos="3531"/>
              </w:tabs>
              <w:spacing w:before="100" w:beforeAutospacing="1" w:after="100" w:afterAutospacing="1" w:line="480" w:lineRule="exact"/>
              <w:jc w:val="left"/>
              <w:rPr>
                <w:rFonts w:hint="default" w:ascii="仿宋_GB2312" w:eastAsia="仿宋_GB2312" w:hAnsiTheme="minorHAnsi" w:cstheme="minorBidi"/>
                <w:kern w:val="2"/>
                <w:sz w:val="28"/>
                <w:szCs w:val="28"/>
                <w:lang w:val="en-US" w:eastAsia="zh-CN" w:bidi="ar-SA"/>
              </w:rPr>
            </w:pPr>
            <w:r>
              <w:rPr>
                <w:rFonts w:hint="eastAsia" w:ascii="仿宋_GB2312" w:hAnsi="Arial" w:eastAsia="仿宋_GB2312" w:cs="Arial"/>
                <w:sz w:val="24"/>
                <w:lang w:val="en-US" w:eastAsia="zh-CN"/>
              </w:rPr>
              <w:tab/>
            </w:r>
            <w:r>
              <w:rPr>
                <w:rFonts w:hint="eastAsia" w:ascii="仿宋_GB2312" w:hAnsi="Arial" w:eastAsia="仿宋_GB2312" w:cs="Arial"/>
                <w:sz w:val="24"/>
                <w:lang w:val="en-US" w:eastAsia="zh-CN"/>
              </w:rPr>
              <w:t xml:space="preserve">  按照合同约定</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shd w:val="clear" w:color="auto" w:fill="auto"/>
            <w:noWrap w:val="0"/>
            <w:vAlign w:val="center"/>
          </w:tcPr>
          <w:p w14:paraId="09D04DCF">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询价响应文件提交截止时间</w:t>
            </w:r>
          </w:p>
        </w:tc>
        <w:tc>
          <w:tcPr>
            <w:tcW w:w="7158" w:type="dxa"/>
            <w:gridSpan w:val="3"/>
            <w:shd w:val="clear" w:color="auto" w:fill="auto"/>
            <w:noWrap w:val="0"/>
            <w:vAlign w:val="center"/>
          </w:tcPr>
          <w:p w14:paraId="313217A3">
            <w:pPr>
              <w:spacing w:before="100" w:beforeAutospacing="1" w:after="100" w:afterAutospacing="1"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eastAsia="仿宋_GB2312" w:cs="Arial"/>
                <w:sz w:val="24"/>
                <w:highlight w:val="none"/>
                <w:lang w:val="en-US" w:eastAsia="zh-CN"/>
              </w:rPr>
              <w:t>6</w:t>
            </w:r>
            <w:r>
              <w:rPr>
                <w:rFonts w:hint="eastAsia" w:ascii="仿宋_GB2312" w:hAnsi="Arial" w:eastAsia="仿宋_GB2312" w:cs="Arial"/>
                <w:sz w:val="24"/>
                <w:highlight w:val="none"/>
              </w:rPr>
              <w:t>年</w:t>
            </w:r>
            <w:r>
              <w:rPr>
                <w:rFonts w:hint="eastAsia" w:ascii="仿宋_GB2312" w:eastAsia="仿宋_GB2312" w:cs="Arial"/>
                <w:sz w:val="24"/>
                <w:highlight w:val="none"/>
                <w:lang w:val="en-US" w:eastAsia="zh-CN"/>
              </w:rPr>
              <w:t>2</w:t>
            </w:r>
            <w:r>
              <w:rPr>
                <w:rFonts w:hint="eastAsia" w:ascii="仿宋_GB2312" w:hAnsi="Arial" w:eastAsia="仿宋_GB2312" w:cs="Arial"/>
                <w:sz w:val="24"/>
                <w:highlight w:val="none"/>
              </w:rPr>
              <w:t>月</w:t>
            </w:r>
            <w:r>
              <w:rPr>
                <w:rFonts w:hint="eastAsia" w:ascii="仿宋_GB2312" w:eastAsia="仿宋_GB2312" w:cs="Arial"/>
                <w:sz w:val="24"/>
                <w:highlight w:val="none"/>
                <w:lang w:val="en-US" w:eastAsia="zh-CN"/>
              </w:rPr>
              <w:t>25</w:t>
            </w:r>
            <w:r>
              <w:rPr>
                <w:rFonts w:hint="eastAsia" w:ascii="仿宋_GB2312" w:hAnsi="Arial" w:eastAsia="仿宋_GB2312" w:cs="Arial"/>
                <w:sz w:val="24"/>
                <w:highlight w:val="none"/>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shd w:val="clear" w:color="auto" w:fill="auto"/>
            <w:noWrap w:val="0"/>
            <w:vAlign w:val="center"/>
          </w:tcPr>
          <w:p w14:paraId="37B770C4">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报价地点</w:t>
            </w:r>
          </w:p>
        </w:tc>
        <w:tc>
          <w:tcPr>
            <w:tcW w:w="7158" w:type="dxa"/>
            <w:gridSpan w:val="3"/>
            <w:shd w:val="clear" w:color="auto" w:fill="auto"/>
            <w:noWrap w:val="0"/>
            <w:vAlign w:val="center"/>
          </w:tcPr>
          <w:p w14:paraId="7EF2EC2A">
            <w:pPr>
              <w:spacing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2</w:t>
            </w:r>
            <w:r>
              <w:rPr>
                <w:rFonts w:hint="eastAsia" w:ascii="仿宋_GB2312" w:hAnsi="Arial" w:eastAsia="仿宋_GB2312" w:cs="Arial"/>
                <w:sz w:val="24"/>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shd w:val="clear" w:color="auto" w:fill="auto"/>
            <w:noWrap w:val="0"/>
            <w:vAlign w:val="center"/>
          </w:tcPr>
          <w:p w14:paraId="736C1CB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采购单位名称</w:t>
            </w:r>
          </w:p>
        </w:tc>
        <w:tc>
          <w:tcPr>
            <w:tcW w:w="7158" w:type="dxa"/>
            <w:gridSpan w:val="3"/>
            <w:shd w:val="clear" w:color="auto" w:fill="auto"/>
            <w:noWrap w:val="0"/>
            <w:vAlign w:val="center"/>
          </w:tcPr>
          <w:p w14:paraId="13E1CFBE">
            <w:pPr>
              <w:spacing w:before="100" w:beforeAutospacing="1" w:after="100" w:afterAutospacing="1" w:line="480" w:lineRule="exact"/>
              <w:jc w:val="center"/>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青岛诚光城市照明工程有限公司</w:t>
            </w:r>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shd w:val="clear" w:color="auto" w:fill="auto"/>
            <w:noWrap w:val="0"/>
            <w:vAlign w:val="center"/>
          </w:tcPr>
          <w:p w14:paraId="6CB50E00">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电子邮箱</w:t>
            </w:r>
          </w:p>
        </w:tc>
        <w:tc>
          <w:tcPr>
            <w:tcW w:w="7158" w:type="dxa"/>
            <w:gridSpan w:val="3"/>
            <w:shd w:val="clear" w:color="auto" w:fill="auto"/>
            <w:noWrap w:val="0"/>
            <w:vAlign w:val="center"/>
          </w:tcPr>
          <w:p w14:paraId="147B5B2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default" w:ascii="仿宋_GB2312" w:hAnsi="Arial" w:eastAsia="仿宋_GB2312" w:cs="Arial"/>
                <w:sz w:val="24"/>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shd w:val="clear" w:color="auto" w:fill="auto"/>
            <w:noWrap w:val="0"/>
            <w:vAlign w:val="center"/>
          </w:tcPr>
          <w:p w14:paraId="7CE804DD">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采购单位联系人</w:t>
            </w:r>
          </w:p>
        </w:tc>
        <w:tc>
          <w:tcPr>
            <w:tcW w:w="2556" w:type="dxa"/>
            <w:shd w:val="clear" w:color="auto" w:fill="auto"/>
            <w:noWrap w:val="0"/>
            <w:vAlign w:val="center"/>
          </w:tcPr>
          <w:p w14:paraId="4783A1F2">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kern w:val="2"/>
                <w:sz w:val="24"/>
                <w:szCs w:val="24"/>
                <w:highlight w:val="none"/>
                <w:lang w:val="en-US" w:eastAsia="zh-CN" w:bidi="ar-SA"/>
              </w:rPr>
              <w:t>郑经理</w:t>
            </w:r>
          </w:p>
        </w:tc>
        <w:tc>
          <w:tcPr>
            <w:tcW w:w="1424" w:type="dxa"/>
            <w:shd w:val="clear" w:color="auto" w:fill="auto"/>
            <w:noWrap w:val="0"/>
            <w:vAlign w:val="center"/>
          </w:tcPr>
          <w:p w14:paraId="29A739EB">
            <w:pPr>
              <w:spacing w:before="100" w:beforeAutospacing="1" w:after="100" w:afterAutospacing="1"/>
              <w:jc w:val="center"/>
              <w:rPr>
                <w:rFonts w:hint="eastAsia"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rPr>
              <w:t>电话</w:t>
            </w:r>
          </w:p>
        </w:tc>
        <w:tc>
          <w:tcPr>
            <w:tcW w:w="3178" w:type="dxa"/>
            <w:shd w:val="clear" w:color="auto" w:fill="auto"/>
            <w:noWrap w:val="0"/>
            <w:vAlign w:val="center"/>
          </w:tcPr>
          <w:p w14:paraId="6B33838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lang w:val="en-US" w:eastAsia="zh-CN"/>
              </w:rPr>
              <w:t>0532-85800891</w:t>
            </w:r>
          </w:p>
        </w:tc>
      </w:tr>
    </w:tbl>
    <w:p w14:paraId="08F75CE3">
      <w:pPr>
        <w:autoSpaceDE w:val="0"/>
        <w:autoSpaceDN w:val="0"/>
        <w:adjustRightInd w:val="0"/>
        <w:spacing w:line="360" w:lineRule="auto"/>
        <w:rPr>
          <w:rFonts w:hint="eastAsia" w:ascii="仿宋_GB2312" w:eastAsia="仿宋_GB2312"/>
          <w:sz w:val="24"/>
          <w:lang w:val="en-US" w:eastAsia="zh-CN"/>
        </w:rPr>
        <w:sectPr>
          <w:headerReference r:id="rId5" w:type="default"/>
          <w:pgSz w:w="11906" w:h="16838"/>
          <w:pgMar w:top="1440" w:right="1800" w:bottom="1440" w:left="1800" w:header="851" w:footer="992" w:gutter="0"/>
          <w:cols w:space="720" w:num="1"/>
          <w:docGrid w:type="lines" w:linePitch="312" w:charSpace="0"/>
        </w:sectPr>
      </w:pPr>
    </w:p>
    <w:p w14:paraId="7DCB3236">
      <w:pPr>
        <w:jc w:val="center"/>
        <w:rPr>
          <w:rFonts w:hint="eastAsia" w:ascii="宋体" w:hAnsi="宋体" w:eastAsia="宋体" w:cs="Times New Roman"/>
          <w:b/>
          <w:spacing w:val="-2"/>
          <w:sz w:val="48"/>
          <w:szCs w:val="52"/>
          <w:lang w:val="en-US" w:eastAsia="zh-CN"/>
        </w:rPr>
      </w:pPr>
    </w:p>
    <w:p w14:paraId="457D7AE8">
      <w:pPr>
        <w:jc w:val="both"/>
        <w:rPr>
          <w:rFonts w:hint="eastAsia" w:ascii="宋体" w:hAnsi="宋体" w:eastAsia="宋体" w:cs="Times New Roman"/>
          <w:b/>
          <w:spacing w:val="-2"/>
          <w:sz w:val="48"/>
          <w:szCs w:val="52"/>
          <w:lang w:val="en-US" w:eastAsia="zh-CN"/>
        </w:rPr>
      </w:pPr>
    </w:p>
    <w:p w14:paraId="6AA84A59">
      <w:pPr>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东岸产业园区基础设施综合改造项目（双山隧道及南延配套工程）四标段路灯工程配套辅材采购项目</w:t>
      </w: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6</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1F2F63BC">
      <w:pPr>
        <w:spacing w:before="100" w:beforeAutospacing="1" w:after="100" w:afterAutospacing="1" w:line="440" w:lineRule="exact"/>
        <w:jc w:val="center"/>
        <w:rPr>
          <w:rFonts w:hint="eastAsia" w:ascii="宋体" w:hAnsi="宋体"/>
          <w:b/>
          <w:spacing w:val="-2"/>
          <w:sz w:val="36"/>
          <w:szCs w:val="36"/>
        </w:rPr>
      </w:pPr>
    </w:p>
    <w:p w14:paraId="2E2B4868">
      <w:pPr>
        <w:spacing w:before="100" w:beforeAutospacing="1" w:after="100" w:afterAutospacing="1" w:line="440" w:lineRule="exact"/>
        <w:jc w:val="both"/>
        <w:rPr>
          <w:rFonts w:hint="eastAsia" w:ascii="宋体" w:hAnsi="宋体"/>
          <w:b/>
          <w:spacing w:val="-2"/>
          <w:sz w:val="36"/>
          <w:szCs w:val="36"/>
        </w:rPr>
      </w:pPr>
    </w:p>
    <w:p w14:paraId="11DFF1D5">
      <w:pPr>
        <w:spacing w:before="100" w:beforeAutospacing="1" w:after="100" w:afterAutospacing="1" w:line="440" w:lineRule="exact"/>
        <w:jc w:val="both"/>
        <w:rPr>
          <w:rFonts w:hint="eastAsia" w:ascii="宋体" w:hAnsi="宋体"/>
          <w:b/>
          <w:spacing w:val="-2"/>
          <w:sz w:val="36"/>
          <w:szCs w:val="36"/>
        </w:rPr>
      </w:pPr>
    </w:p>
    <w:p w14:paraId="3C611CA2">
      <w:pPr>
        <w:spacing w:before="100" w:beforeAutospacing="1" w:after="100" w:afterAutospacing="1" w:line="440" w:lineRule="exact"/>
        <w:jc w:val="both"/>
        <w:rPr>
          <w:rFonts w:hint="eastAsia" w:ascii="宋体" w:hAnsi="宋体"/>
          <w:b/>
          <w:spacing w:val="-2"/>
          <w:sz w:val="36"/>
          <w:szCs w:val="36"/>
        </w:rPr>
      </w:pPr>
    </w:p>
    <w:p w14:paraId="48121661">
      <w:pPr>
        <w:spacing w:before="100" w:beforeAutospacing="1" w:after="100" w:afterAutospacing="1" w:line="440" w:lineRule="exact"/>
        <w:jc w:val="both"/>
        <w:rPr>
          <w:rFonts w:hint="eastAsia" w:ascii="宋体" w:hAnsi="宋体"/>
          <w:b/>
          <w:spacing w:val="-2"/>
          <w:sz w:val="36"/>
          <w:szCs w:val="36"/>
        </w:rPr>
      </w:pPr>
    </w:p>
    <w:p w14:paraId="11D9F862">
      <w:pPr>
        <w:spacing w:before="100" w:beforeAutospacing="1" w:after="100" w:afterAutospacing="1" w:line="440" w:lineRule="exact"/>
        <w:jc w:val="both"/>
        <w:rPr>
          <w:rFonts w:hint="eastAsia" w:ascii="宋体" w:hAnsi="宋体"/>
          <w:b/>
          <w:spacing w:val="-2"/>
          <w:sz w:val="36"/>
          <w:szCs w:val="36"/>
        </w:rPr>
      </w:pPr>
    </w:p>
    <w:p w14:paraId="417621E1">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w:t>
      </w:r>
      <w:r>
        <w:rPr>
          <w:rFonts w:hint="eastAsia" w:ascii="仿宋_GB2312" w:hAnsi="仿宋" w:eastAsia="仿宋_GB2312" w:cs="微软雅黑"/>
          <w:bCs/>
          <w:sz w:val="28"/>
          <w:szCs w:val="28"/>
          <w:lang w:val="en-US" w:eastAsia="zh-CN"/>
        </w:rPr>
        <w:t>，具备</w:t>
      </w:r>
      <w:r>
        <w:rPr>
          <w:rFonts w:hint="default" w:ascii="仿宋_GB2312" w:hAnsi="仿宋" w:eastAsia="仿宋_GB2312" w:cs="微软雅黑"/>
          <w:bCs/>
          <w:sz w:val="28"/>
          <w:szCs w:val="28"/>
          <w:lang w:val="en-US" w:eastAsia="zh-CN"/>
        </w:rPr>
        <w:t>合法经营权的凭证</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505039FF">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授权代理人委托书（格式自拟）。</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35F1929B">
      <w:pPr>
        <w:adjustRightInd w:val="0"/>
        <w:snapToGrid w:val="0"/>
        <w:spacing w:line="560" w:lineRule="exact"/>
        <w:ind w:firstLine="560" w:firstLineChars="200"/>
        <w:jc w:val="both"/>
        <w:rPr>
          <w:rFonts w:hint="default" w:ascii="仿宋_GB2312" w:hAnsi="仿宋" w:eastAsia="仿宋_GB2312" w:cs="微软雅黑"/>
          <w:bCs/>
          <w:color w:val="auto"/>
          <w:sz w:val="28"/>
          <w:szCs w:val="28"/>
          <w:lang w:val="en-US"/>
        </w:rPr>
      </w:pPr>
      <w:r>
        <w:rPr>
          <w:rFonts w:hint="eastAsia" w:ascii="仿宋_GB2312" w:hAnsi="仿宋" w:eastAsia="仿宋_GB2312" w:cs="微软雅黑"/>
          <w:bCs/>
          <w:sz w:val="28"/>
          <w:szCs w:val="28"/>
          <w:lang w:val="en-US" w:eastAsia="zh-CN"/>
        </w:rPr>
        <w:t>（2）项目报价明细表（见附表3）；</w:t>
      </w:r>
    </w:p>
    <w:p w14:paraId="118B1C56">
      <w:pPr>
        <w:adjustRightInd w:val="0"/>
        <w:snapToGrid w:val="0"/>
        <w:spacing w:line="560" w:lineRule="exact"/>
        <w:ind w:firstLine="562" w:firstLineChars="200"/>
        <w:jc w:val="both"/>
        <w:rPr>
          <w:rFonts w:hint="eastAsia" w:ascii="仿宋_GB2312" w:hAnsi="仿宋" w:eastAsia="仿宋_GB2312" w:cs="微软雅黑"/>
          <w:b w:val="0"/>
          <w:bCs/>
          <w:sz w:val="28"/>
          <w:szCs w:val="28"/>
          <w:lang w:val="en-US" w:eastAsia="zh-CN"/>
        </w:rPr>
      </w:pPr>
      <w:r>
        <w:rPr>
          <w:rFonts w:hint="eastAsia" w:ascii="仿宋_GB2312" w:hAnsi="仿宋" w:eastAsia="仿宋_GB2312" w:cs="微软雅黑"/>
          <w:b/>
          <w:bCs w:val="0"/>
          <w:sz w:val="28"/>
          <w:szCs w:val="28"/>
          <w:lang w:val="en-US" w:eastAsia="zh-CN"/>
        </w:rPr>
        <w:t>3.技术水平证明资料：</w:t>
      </w:r>
      <w:r>
        <w:rPr>
          <w:rFonts w:hint="eastAsia" w:ascii="仿宋_GB2312" w:hAnsi="仿宋" w:eastAsia="仿宋_GB2312" w:cs="微软雅黑"/>
          <w:b w:val="0"/>
          <w:bCs/>
          <w:sz w:val="28"/>
          <w:szCs w:val="28"/>
          <w:lang w:val="en-US" w:eastAsia="zh-CN"/>
        </w:rPr>
        <w:t>产品介绍、技术参数证明文件、检验报告、出厂合格证、产品认证证书等（须提供证书材料复印件加盖公章）</w:t>
      </w:r>
    </w:p>
    <w:p w14:paraId="1A802589">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4.账期、质保期承诺书</w:t>
      </w:r>
      <w:r>
        <w:rPr>
          <w:rFonts w:hint="eastAsia" w:ascii="仿宋_GB2312" w:hAnsi="仿宋" w:eastAsia="仿宋_GB2312" w:cs="微软雅黑"/>
          <w:bCs/>
          <w:sz w:val="28"/>
          <w:szCs w:val="28"/>
          <w:lang w:val="en-US" w:eastAsia="zh-CN"/>
        </w:rPr>
        <w:t>（格式自拟）。</w:t>
      </w:r>
    </w:p>
    <w:p w14:paraId="1B4DD5E7">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5.供货、售后服务方案</w:t>
      </w:r>
      <w:r>
        <w:rPr>
          <w:rFonts w:hint="eastAsia" w:ascii="仿宋_GB2312" w:hAnsi="仿宋" w:eastAsia="仿宋_GB2312" w:cs="微软雅黑"/>
          <w:bCs/>
          <w:sz w:val="28"/>
          <w:szCs w:val="28"/>
          <w:lang w:val="en-US" w:eastAsia="zh-CN"/>
        </w:rPr>
        <w:t>（格式自拟，供货方案需具备完整性与详尽性，兼具可行性与可操作性，并充分契合项目需求；售后服务方案内容应包含但不限于服务人员配备、响应时间、解决方案、紧急情况处理预案等）。</w:t>
      </w:r>
    </w:p>
    <w:p w14:paraId="4EA9076C">
      <w:pPr>
        <w:adjustRightInd w:val="0"/>
        <w:snapToGrid w:val="0"/>
        <w:spacing w:line="560" w:lineRule="exact"/>
        <w:ind w:firstLine="562" w:firstLineChars="200"/>
        <w:jc w:val="both"/>
        <w:rPr>
          <w:rFonts w:hint="eastAsia" w:ascii="仿宋_GB2312" w:hAnsi="仿宋" w:eastAsia="仿宋_GB2312" w:cs="微软雅黑"/>
          <w:b/>
          <w:bCs w:val="0"/>
          <w:sz w:val="28"/>
          <w:szCs w:val="28"/>
        </w:rPr>
      </w:pPr>
      <w:r>
        <w:rPr>
          <w:rFonts w:hint="eastAsia" w:ascii="仿宋_GB2312" w:hAnsi="仿宋" w:eastAsia="仿宋_GB2312" w:cs="微软雅黑"/>
          <w:b/>
          <w:bCs w:val="0"/>
          <w:sz w:val="28"/>
          <w:szCs w:val="28"/>
          <w:lang w:val="en-US" w:eastAsia="zh-CN"/>
        </w:rPr>
        <w:t>6.</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青岛诚光城市照明工程有限公司</w:t>
      </w:r>
      <w:r>
        <w:rPr>
          <w:rFonts w:hint="eastAsia" w:ascii="仿宋" w:hAnsi="仿宋" w:eastAsia="仿宋"/>
          <w:color w:val="000000"/>
          <w:u w:val="single"/>
          <w:lang w:eastAsia="zh-CN"/>
        </w:rPr>
        <w:t>东岸产业园区基础设施综合改造项目（双山隧道及南延配套工程）四标段路灯工程配套辅材采购项目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ascii="仿宋" w:hAnsi="仿宋" w:eastAsia="仿宋"/>
          <w:color w:val="000000"/>
        </w:rPr>
        <w:t>202</w:t>
      </w:r>
      <w:r>
        <w:rPr>
          <w:rFonts w:hint="eastAsia" w:ascii="仿宋" w:hAnsi="仿宋" w:eastAsia="仿宋"/>
          <w:color w:val="000000"/>
          <w:lang w:val="en-US" w:eastAsia="zh-CN"/>
        </w:rPr>
        <w:t>6</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2E9EE44A">
      <w:pPr>
        <w:spacing w:line="420" w:lineRule="auto"/>
        <w:rPr>
          <w:rFonts w:ascii="仿宋" w:hAnsi="仿宋" w:eastAsia="仿宋"/>
          <w:color w:val="000000"/>
        </w:rPr>
      </w:pPr>
    </w:p>
    <w:p w14:paraId="26F82D58">
      <w:pPr>
        <w:spacing w:line="360" w:lineRule="auto"/>
        <w:rPr>
          <w:rFonts w:hint="eastAsia" w:ascii="黑体" w:hAnsi="黑体" w:eastAsia="黑体" w:cs="微软雅黑"/>
          <w:bCs/>
          <w:sz w:val="28"/>
          <w:szCs w:val="28"/>
        </w:rPr>
      </w:pPr>
    </w:p>
    <w:p w14:paraId="2D71A5D8">
      <w:pPr>
        <w:widowControl/>
        <w:autoSpaceDE w:val="0"/>
        <w:autoSpaceDN w:val="0"/>
        <w:adjustRightInd w:val="0"/>
        <w:spacing w:before="120" w:after="120" w:line="300" w:lineRule="auto"/>
        <w:ind w:right="-481"/>
        <w:jc w:val="center"/>
        <w:rPr>
          <w:rFonts w:hint="eastAsia" w:ascii="仿宋" w:hAnsi="仿宋" w:eastAsia="仿宋" w:cs="宋体"/>
          <w:kern w:val="1"/>
          <w:sz w:val="28"/>
          <w:szCs w:val="28"/>
        </w:rPr>
      </w:pPr>
      <w:bookmarkStart w:id="0" w:name="_Toc406740774"/>
    </w:p>
    <w:p w14:paraId="2F6CB21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210824BC">
      <w:pPr>
        <w:widowControl/>
        <w:autoSpaceDE w:val="0"/>
        <w:autoSpaceDN w:val="0"/>
        <w:adjustRightInd w:val="0"/>
        <w:spacing w:before="120" w:after="120" w:line="300" w:lineRule="auto"/>
        <w:ind w:right="-481"/>
        <w:jc w:val="both"/>
        <w:rPr>
          <w:rFonts w:hint="eastAsia" w:ascii="仿宋" w:hAnsi="仿宋" w:eastAsia="仿宋" w:cs="宋体"/>
          <w:kern w:val="1"/>
          <w:sz w:val="28"/>
          <w:szCs w:val="28"/>
        </w:rPr>
      </w:pPr>
    </w:p>
    <w:p w14:paraId="500BD18C">
      <w:pPr>
        <w:widowControl/>
        <w:autoSpaceDE w:val="0"/>
        <w:autoSpaceDN w:val="0"/>
        <w:adjustRightInd w:val="0"/>
        <w:spacing w:before="120" w:after="120" w:line="300" w:lineRule="auto"/>
        <w:ind w:right="-481"/>
        <w:jc w:val="center"/>
        <w:rPr>
          <w:rFonts w:ascii="仿宋" w:hAnsi="仿宋" w:eastAsia="仿宋"/>
          <w:kern w:val="1"/>
          <w:sz w:val="28"/>
          <w:szCs w:val="28"/>
        </w:rPr>
      </w:pPr>
      <w:r>
        <w:rPr>
          <w:rFonts w:hint="eastAsia" w:ascii="仿宋" w:hAnsi="仿宋" w:eastAsia="仿宋" w:cs="宋体"/>
          <w:kern w:val="1"/>
          <w:sz w:val="28"/>
          <w:szCs w:val="28"/>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63543D07">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青岛诚光城市照明工程有限公司</w:t>
      </w:r>
      <w:r>
        <w:rPr>
          <w:rStyle w:val="6"/>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6"/>
          <w:rFonts w:hint="eastAsia"/>
          <w:sz w:val="24"/>
        </w:rPr>
        <w:t>系中华人民共和国合法企业，经营地址</w:t>
      </w:r>
      <w:r>
        <w:rPr>
          <w:rFonts w:ascii="仿宋" w:hAnsi="仿宋" w:eastAsia="仿宋" w:cs="仿宋"/>
          <w:kern w:val="1"/>
          <w:sz w:val="24"/>
          <w:u w:val="single"/>
        </w:rPr>
        <w:t xml:space="preserve">          </w:t>
      </w:r>
      <w:r>
        <w:rPr>
          <w:rStyle w:val="6"/>
          <w:rFonts w:hint="eastAsia"/>
          <w:sz w:val="24"/>
        </w:rPr>
        <w:t>。我</w:t>
      </w:r>
      <w:r>
        <w:rPr>
          <w:rFonts w:hint="eastAsia" w:ascii="仿宋" w:hAnsi="仿宋" w:eastAsia="仿宋" w:cs="仿宋"/>
          <w:kern w:val="1"/>
          <w:sz w:val="24"/>
          <w:u w:val="single"/>
        </w:rPr>
        <w:t>（姓名）</w:t>
      </w:r>
      <w:r>
        <w:rPr>
          <w:rStyle w:val="6"/>
          <w:rFonts w:hint="eastAsia"/>
          <w:sz w:val="24"/>
        </w:rPr>
        <w:t>系</w:t>
      </w:r>
      <w:r>
        <w:rPr>
          <w:rFonts w:hint="eastAsia" w:ascii="仿宋" w:hAnsi="仿宋" w:eastAsia="仿宋" w:cs="仿宋"/>
          <w:kern w:val="1"/>
          <w:sz w:val="24"/>
          <w:u w:val="single"/>
        </w:rPr>
        <w:t>（供应商名称）</w:t>
      </w:r>
      <w:r>
        <w:rPr>
          <w:rStyle w:val="6"/>
          <w:rFonts w:hint="eastAsia"/>
          <w:sz w:val="24"/>
        </w:rPr>
        <w:t>的法定代表人，我方愿意参加贵方组织的</w:t>
      </w:r>
      <w:r>
        <w:rPr>
          <w:rFonts w:hint="eastAsia" w:ascii="仿宋" w:hAnsi="仿宋" w:eastAsia="仿宋" w:cs="仿宋"/>
          <w:kern w:val="1"/>
          <w:sz w:val="24"/>
          <w:u w:val="single"/>
        </w:rPr>
        <w:t>（采购项目名称）</w:t>
      </w:r>
      <w:r>
        <w:rPr>
          <w:rStyle w:val="6"/>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6"/>
          <w:sz w:val="24"/>
        </w:rPr>
      </w:pPr>
      <w:r>
        <w:rPr>
          <w:rStyle w:val="6"/>
          <w:sz w:val="24"/>
        </w:rPr>
        <w:t>1</w:t>
      </w:r>
      <w:r>
        <w:rPr>
          <w:rStyle w:val="6"/>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6"/>
          <w:sz w:val="24"/>
        </w:rPr>
      </w:pPr>
      <w:r>
        <w:rPr>
          <w:rStyle w:val="6"/>
          <w:sz w:val="24"/>
        </w:rPr>
        <w:t>2</w:t>
      </w:r>
      <w:r>
        <w:rPr>
          <w:rStyle w:val="6"/>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6"/>
          <w:sz w:val="24"/>
        </w:rPr>
      </w:pPr>
      <w:r>
        <w:rPr>
          <w:rStyle w:val="6"/>
          <w:sz w:val="24"/>
        </w:rPr>
        <w:t>3</w:t>
      </w:r>
      <w:r>
        <w:rPr>
          <w:rStyle w:val="6"/>
          <w:rFonts w:hint="eastAsia"/>
          <w:sz w:val="24"/>
        </w:rPr>
        <w:t>、若成交，我方将按照询价函规定履行合同责任和义务</w:t>
      </w:r>
      <w:r>
        <w:rPr>
          <w:rStyle w:val="6"/>
          <w:rFonts w:hint="eastAsia" w:eastAsia="仿宋"/>
          <w:sz w:val="24"/>
          <w:lang w:eastAsia="zh-CN"/>
        </w:rPr>
        <w:t>，</w:t>
      </w:r>
      <w:r>
        <w:rPr>
          <w:rStyle w:val="6"/>
          <w:rFonts w:hint="eastAsia" w:eastAsia="仿宋"/>
          <w:sz w:val="24"/>
          <w:lang w:val="en-US" w:eastAsia="zh-CN"/>
        </w:rPr>
        <w:t>报价费用包含项目所有费用</w:t>
      </w:r>
      <w:r>
        <w:rPr>
          <w:rStyle w:val="6"/>
          <w:rFonts w:hint="eastAsia"/>
          <w:sz w:val="24"/>
        </w:rPr>
        <w:t>。</w:t>
      </w:r>
    </w:p>
    <w:p w14:paraId="170D75E0">
      <w:pPr>
        <w:widowControl/>
        <w:autoSpaceDE w:val="0"/>
        <w:autoSpaceDN w:val="0"/>
        <w:adjustRightInd w:val="0"/>
        <w:spacing w:line="460" w:lineRule="exact"/>
        <w:ind w:firstLine="480"/>
        <w:rPr>
          <w:rStyle w:val="6"/>
          <w:sz w:val="24"/>
        </w:rPr>
      </w:pPr>
      <w:r>
        <w:rPr>
          <w:rStyle w:val="6"/>
          <w:sz w:val="24"/>
        </w:rPr>
        <w:t>4</w:t>
      </w:r>
      <w:r>
        <w:rPr>
          <w:rStyle w:val="6"/>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6"/>
          <w:sz w:val="24"/>
        </w:rPr>
        <w:t>5</w:t>
      </w:r>
      <w:r>
        <w:rPr>
          <w:rStyle w:val="6"/>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6"/>
          <w:rFonts w:hint="eastAsia"/>
          <w:color w:val="auto"/>
          <w:sz w:val="24"/>
        </w:rPr>
        <w:t>日。</w:t>
      </w:r>
    </w:p>
    <w:p w14:paraId="6A9BF40F">
      <w:pPr>
        <w:widowControl/>
        <w:autoSpaceDE w:val="0"/>
        <w:autoSpaceDN w:val="0"/>
        <w:adjustRightInd w:val="0"/>
        <w:spacing w:line="460" w:lineRule="exact"/>
        <w:ind w:firstLine="480"/>
        <w:rPr>
          <w:rStyle w:val="6"/>
          <w:sz w:val="24"/>
        </w:rPr>
      </w:pPr>
      <w:r>
        <w:rPr>
          <w:rStyle w:val="6"/>
          <w:sz w:val="24"/>
        </w:rPr>
        <w:t>6</w:t>
      </w:r>
      <w:r>
        <w:rPr>
          <w:rStyle w:val="6"/>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6"/>
          <w:sz w:val="24"/>
        </w:rPr>
      </w:pPr>
      <w:r>
        <w:rPr>
          <w:rStyle w:val="6"/>
          <w:rFonts w:hint="eastAsia"/>
          <w:sz w:val="24"/>
        </w:rPr>
        <w:t>供应商全称（公章）：</w:t>
      </w:r>
      <w:r>
        <w:rPr>
          <w:rStyle w:val="6"/>
          <w:sz w:val="24"/>
        </w:rPr>
        <w:t xml:space="preserve">               </w:t>
      </w:r>
    </w:p>
    <w:p w14:paraId="2246E560">
      <w:pPr>
        <w:widowControl/>
        <w:autoSpaceDE w:val="0"/>
        <w:autoSpaceDN w:val="0"/>
        <w:adjustRightInd w:val="0"/>
        <w:spacing w:before="120" w:after="50" w:line="460" w:lineRule="exact"/>
        <w:ind w:right="119" w:firstLine="3720"/>
        <w:rPr>
          <w:rStyle w:val="6"/>
          <w:sz w:val="24"/>
        </w:rPr>
      </w:pPr>
      <w:r>
        <w:rPr>
          <w:rStyle w:val="6"/>
          <w:rFonts w:hint="eastAsia"/>
          <w:sz w:val="24"/>
        </w:rPr>
        <w:t>法定代表人（签字或盖章）：</w:t>
      </w:r>
      <w:r>
        <w:rPr>
          <w:rStyle w:val="6"/>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6"/>
          <w:rFonts w:hint="eastAsia"/>
          <w:sz w:val="24"/>
        </w:rPr>
        <w:t>日</w:t>
      </w:r>
      <w:r>
        <w:rPr>
          <w:rStyle w:val="6"/>
          <w:sz w:val="24"/>
        </w:rPr>
        <w:t xml:space="preserve"> </w:t>
      </w:r>
      <w:r>
        <w:rPr>
          <w:rStyle w:val="6"/>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ADD477F">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39D02319">
      <w:pPr>
        <w:spacing w:line="440" w:lineRule="exact"/>
        <w:jc w:val="both"/>
        <w:rPr>
          <w:rFonts w:hint="eastAsia" w:ascii="仿宋" w:hAnsi="仿宋" w:eastAsia="仿宋"/>
          <w:b/>
          <w:bCs/>
          <w:color w:val="000000"/>
          <w:sz w:val="32"/>
          <w:szCs w:val="32"/>
          <w:lang w:val="en-US" w:eastAsia="zh-CN"/>
        </w:rPr>
      </w:pPr>
    </w:p>
    <w:p w14:paraId="2B282740">
      <w:pPr>
        <w:spacing w:line="440" w:lineRule="exact"/>
        <w:jc w:val="center"/>
        <w:rPr>
          <w:rFonts w:hint="eastAsia"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 xml:space="preserve"> 项目报价明细表</w:t>
      </w:r>
    </w:p>
    <w:p w14:paraId="7AB753A6">
      <w:pPr>
        <w:spacing w:line="440" w:lineRule="exact"/>
        <w:jc w:val="center"/>
        <w:rPr>
          <w:rFonts w:hint="eastAsia" w:ascii="仿宋" w:hAnsi="仿宋" w:eastAsia="仿宋"/>
          <w:b/>
          <w:bCs/>
          <w:color w:val="000000"/>
          <w:sz w:val="32"/>
          <w:szCs w:val="32"/>
          <w:lang w:val="en-US" w:eastAsia="zh-CN"/>
        </w:rPr>
      </w:pPr>
    </w:p>
    <w:tbl>
      <w:tblPr>
        <w:tblStyle w:val="3"/>
        <w:tblW w:w="93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7"/>
        <w:gridCol w:w="1131"/>
        <w:gridCol w:w="3216"/>
        <w:gridCol w:w="657"/>
        <w:gridCol w:w="946"/>
        <w:gridCol w:w="818"/>
        <w:gridCol w:w="1299"/>
        <w:gridCol w:w="657"/>
      </w:tblGrid>
      <w:tr w14:paraId="254FF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657" w:type="dxa"/>
            <w:tcBorders>
              <w:top w:val="single" w:color="auto" w:sz="12" w:space="0"/>
              <w:left w:val="single" w:color="auto" w:sz="12" w:space="0"/>
              <w:bottom w:val="single" w:color="auto" w:sz="4" w:space="0"/>
              <w:right w:val="single" w:color="auto" w:sz="4" w:space="0"/>
            </w:tcBorders>
            <w:shd w:val="clear" w:color="auto" w:fill="auto"/>
            <w:vAlign w:val="center"/>
          </w:tcPr>
          <w:p w14:paraId="6809C6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序号</w:t>
            </w:r>
          </w:p>
        </w:tc>
        <w:tc>
          <w:tcPr>
            <w:tcW w:w="1131" w:type="dxa"/>
            <w:tcBorders>
              <w:top w:val="single" w:color="auto" w:sz="12" w:space="0"/>
              <w:left w:val="single" w:color="auto" w:sz="4" w:space="0"/>
              <w:bottom w:val="single" w:color="auto" w:sz="4" w:space="0"/>
              <w:right w:val="single" w:color="auto" w:sz="4" w:space="0"/>
            </w:tcBorders>
            <w:shd w:val="clear" w:color="auto" w:fill="auto"/>
            <w:vAlign w:val="center"/>
          </w:tcPr>
          <w:p w14:paraId="075EF5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编号</w:t>
            </w:r>
          </w:p>
        </w:tc>
        <w:tc>
          <w:tcPr>
            <w:tcW w:w="3216" w:type="dxa"/>
            <w:tcBorders>
              <w:top w:val="single" w:color="auto" w:sz="12" w:space="0"/>
              <w:left w:val="single" w:color="auto" w:sz="4" w:space="0"/>
              <w:bottom w:val="single" w:color="auto" w:sz="4" w:space="0"/>
              <w:right w:val="single" w:color="auto" w:sz="4" w:space="0"/>
            </w:tcBorders>
            <w:shd w:val="clear" w:color="auto" w:fill="auto"/>
            <w:vAlign w:val="center"/>
          </w:tcPr>
          <w:p w14:paraId="16C705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名称规格</w:t>
            </w:r>
          </w:p>
        </w:tc>
        <w:tc>
          <w:tcPr>
            <w:tcW w:w="657" w:type="dxa"/>
            <w:tcBorders>
              <w:top w:val="single" w:color="auto" w:sz="12" w:space="0"/>
              <w:left w:val="single" w:color="auto" w:sz="4" w:space="0"/>
              <w:bottom w:val="single" w:color="auto" w:sz="4" w:space="0"/>
              <w:right w:val="single" w:color="auto" w:sz="4" w:space="0"/>
            </w:tcBorders>
            <w:shd w:val="clear" w:color="auto" w:fill="auto"/>
            <w:vAlign w:val="center"/>
          </w:tcPr>
          <w:p w14:paraId="5BF264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单位</w:t>
            </w:r>
          </w:p>
        </w:tc>
        <w:tc>
          <w:tcPr>
            <w:tcW w:w="946" w:type="dxa"/>
            <w:tcBorders>
              <w:top w:val="single" w:color="auto" w:sz="12" w:space="0"/>
              <w:left w:val="single" w:color="auto" w:sz="4" w:space="0"/>
              <w:bottom w:val="single" w:color="auto" w:sz="4" w:space="0"/>
              <w:right w:val="single" w:color="auto" w:sz="4" w:space="0"/>
            </w:tcBorders>
            <w:shd w:val="clear" w:color="auto" w:fill="auto"/>
            <w:vAlign w:val="center"/>
          </w:tcPr>
          <w:p w14:paraId="14EFEAE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数量</w:t>
            </w:r>
          </w:p>
        </w:tc>
        <w:tc>
          <w:tcPr>
            <w:tcW w:w="818" w:type="dxa"/>
            <w:tcBorders>
              <w:top w:val="single" w:color="auto" w:sz="12" w:space="0"/>
              <w:left w:val="single" w:color="auto" w:sz="4" w:space="0"/>
              <w:bottom w:val="single" w:color="auto" w:sz="4" w:space="0"/>
              <w:right w:val="single" w:color="auto" w:sz="4" w:space="0"/>
            </w:tcBorders>
            <w:shd w:val="clear" w:color="auto" w:fill="auto"/>
            <w:vAlign w:val="center"/>
          </w:tcPr>
          <w:p w14:paraId="3A8759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snapToGrid w:val="0"/>
                <w:color w:val="000000"/>
                <w:kern w:val="0"/>
                <w:sz w:val="16"/>
                <w:szCs w:val="16"/>
                <w:u w:val="none"/>
                <w:lang w:val="en-US" w:eastAsia="zh-CN" w:bidi="ar"/>
              </w:rPr>
            </w:pPr>
            <w:r>
              <w:rPr>
                <w:rFonts w:hint="eastAsia" w:ascii="宋体" w:hAnsi="宋体" w:eastAsia="宋体" w:cs="宋体"/>
                <w:b/>
                <w:bCs/>
                <w:i w:val="0"/>
                <w:iCs w:val="0"/>
                <w:snapToGrid w:val="0"/>
                <w:color w:val="000000"/>
                <w:kern w:val="0"/>
                <w:sz w:val="16"/>
                <w:szCs w:val="16"/>
                <w:u w:val="none"/>
                <w:lang w:val="en-US" w:eastAsia="zh-CN" w:bidi="ar"/>
              </w:rPr>
              <w:t>市场价</w:t>
            </w:r>
          </w:p>
          <w:p w14:paraId="5789A4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(含税)</w:t>
            </w:r>
          </w:p>
        </w:tc>
        <w:tc>
          <w:tcPr>
            <w:tcW w:w="1299" w:type="dxa"/>
            <w:tcBorders>
              <w:top w:val="single" w:color="auto" w:sz="12" w:space="0"/>
              <w:left w:val="single" w:color="auto" w:sz="4" w:space="0"/>
              <w:bottom w:val="single" w:color="auto" w:sz="4" w:space="0"/>
              <w:right w:val="single" w:color="auto" w:sz="4" w:space="0"/>
            </w:tcBorders>
            <w:shd w:val="clear" w:color="auto" w:fill="auto"/>
            <w:vAlign w:val="center"/>
          </w:tcPr>
          <w:p w14:paraId="395083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（含税）小计</w:t>
            </w:r>
          </w:p>
        </w:tc>
        <w:tc>
          <w:tcPr>
            <w:tcW w:w="657" w:type="dxa"/>
            <w:tcBorders>
              <w:top w:val="single" w:color="auto" w:sz="12" w:space="0"/>
              <w:left w:val="single" w:color="auto" w:sz="4" w:space="0"/>
              <w:bottom w:val="single" w:color="auto" w:sz="4" w:space="0"/>
              <w:right w:val="single" w:color="auto" w:sz="12" w:space="0"/>
            </w:tcBorders>
            <w:shd w:val="clear" w:color="auto" w:fill="auto"/>
            <w:vAlign w:val="center"/>
          </w:tcPr>
          <w:p w14:paraId="0B1665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snapToGrid w:val="0"/>
                <w:color w:val="000000"/>
                <w:kern w:val="0"/>
                <w:sz w:val="16"/>
                <w:szCs w:val="16"/>
                <w:u w:val="none"/>
                <w:lang w:val="en-US" w:eastAsia="zh-CN" w:bidi="ar"/>
              </w:rPr>
              <w:t>税率</w:t>
            </w:r>
          </w:p>
        </w:tc>
      </w:tr>
      <w:tr w14:paraId="1354A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532858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2DEC22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Z04000083U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77C366C7">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预制混凝土井600*600*1200</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1DF7E4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套</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038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29.00</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C0BC67">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38D322">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7BF2E3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2202B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6C6F02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5C0118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Z17000267U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19D51DDE">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PE管φ110</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5661BE0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m</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BA5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1418.53</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6B41E3">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85FAB5">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1C2679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26EA2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0C9AFD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6D8D66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Z17000267U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50FCF004">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PE50 穿线管</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41D70C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m</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767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88.06</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A373B">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2674D">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7638A2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50C17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7B6E92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4</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05AE4EB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Z27000025U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25F967AA">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铜包钢锌圆钢φ10</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782D9A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m</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70CD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1361.83</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74B833">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B1FAD">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56153D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34FDF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2A40FE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3ECAF5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Z29000105U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11032EC5">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硬塑料管接头PE110</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4D60A4F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个</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8F0C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58.00</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772DF2">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A50C8">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704DC5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669C3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1704B4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6</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41CD87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Z36000145U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316828AB">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铸铁井盖井座 铸铁井盖井座600*600 </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1CEF84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套</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3DCC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29.00</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409B18">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F80B1E">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1BE1D1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13</w:t>
            </w:r>
          </w:p>
        </w:tc>
      </w:tr>
      <w:tr w14:paraId="542FC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57" w:type="dxa"/>
            <w:tcBorders>
              <w:top w:val="single" w:color="auto" w:sz="4" w:space="0"/>
              <w:left w:val="single" w:color="auto" w:sz="12" w:space="0"/>
              <w:bottom w:val="single" w:color="auto" w:sz="4" w:space="0"/>
              <w:right w:val="single" w:color="auto" w:sz="4" w:space="0"/>
            </w:tcBorders>
            <w:shd w:val="clear" w:color="auto" w:fill="auto"/>
            <w:vAlign w:val="center"/>
          </w:tcPr>
          <w:p w14:paraId="09EEDF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7</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664E90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Z17000069U</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14:paraId="16FE7ED2">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聚乙烯涂氟钢管φ100</w:t>
            </w:r>
          </w:p>
        </w:tc>
        <w:tc>
          <w:tcPr>
            <w:tcW w:w="657" w:type="dxa"/>
            <w:tcBorders>
              <w:top w:val="single" w:color="auto" w:sz="4" w:space="0"/>
              <w:left w:val="single" w:color="auto" w:sz="4" w:space="0"/>
              <w:bottom w:val="single" w:color="auto" w:sz="4" w:space="0"/>
              <w:right w:val="single" w:color="auto" w:sz="4" w:space="0"/>
            </w:tcBorders>
            <w:shd w:val="clear" w:color="auto" w:fill="auto"/>
            <w:vAlign w:val="center"/>
          </w:tcPr>
          <w:p w14:paraId="3324D5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m</w:t>
            </w:r>
          </w:p>
        </w:tc>
        <w:tc>
          <w:tcPr>
            <w:tcW w:w="9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37D6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1220.388</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CBA014">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12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70121">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c>
          <w:tcPr>
            <w:tcW w:w="657" w:type="dxa"/>
            <w:tcBorders>
              <w:top w:val="single" w:color="auto" w:sz="4" w:space="0"/>
              <w:left w:val="single" w:color="auto" w:sz="4" w:space="0"/>
              <w:bottom w:val="single" w:color="auto" w:sz="4" w:space="0"/>
              <w:right w:val="single" w:color="auto" w:sz="12" w:space="0"/>
            </w:tcBorders>
            <w:shd w:val="clear" w:color="auto" w:fill="auto"/>
            <w:vAlign w:val="center"/>
          </w:tcPr>
          <w:p w14:paraId="6B4EB9CF">
            <w:pPr>
              <w:snapToGrid w:val="0"/>
              <w:ind w:left="0" w:leftChars="0" w:right="0" w:rightChars="0" w:firstLine="0" w:firstLineChars="0"/>
              <w:jc w:val="center"/>
              <w:rPr>
                <w:rFonts w:hint="eastAsia" w:ascii="宋体" w:hAnsi="宋体" w:eastAsia="宋体" w:cs="宋体"/>
                <w:i w:val="0"/>
                <w:iCs w:val="0"/>
                <w:color w:val="000000"/>
                <w:sz w:val="18"/>
                <w:szCs w:val="18"/>
                <w:u w:val="none"/>
              </w:rPr>
            </w:pPr>
          </w:p>
        </w:tc>
      </w:tr>
      <w:tr w14:paraId="503C3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88" w:type="dxa"/>
            <w:gridSpan w:val="2"/>
            <w:tcBorders>
              <w:top w:val="single" w:color="auto" w:sz="4" w:space="0"/>
              <w:left w:val="single" w:color="auto" w:sz="12" w:space="0"/>
              <w:bottom w:val="single" w:color="auto" w:sz="12" w:space="0"/>
              <w:right w:val="single" w:color="auto" w:sz="4" w:space="0"/>
            </w:tcBorders>
            <w:shd w:val="clear" w:color="auto" w:fill="auto"/>
            <w:vAlign w:val="center"/>
          </w:tcPr>
          <w:p w14:paraId="22C35BE4">
            <w:pPr>
              <w:snapToGrid w:val="0"/>
              <w:ind w:left="0" w:leftChars="0" w:right="0" w:rightChars="0" w:firstLine="0" w:firstLineChars="0"/>
              <w:jc w:val="center"/>
              <w:rPr>
                <w:rFonts w:hint="eastAsia" w:ascii="宋体" w:hAnsi="宋体" w:eastAsia="宋体" w:cs="宋体"/>
                <w:b/>
                <w:i w:val="0"/>
                <w:iCs w:val="0"/>
                <w:color w:val="000000"/>
                <w:sz w:val="18"/>
                <w:szCs w:val="18"/>
                <w:u w:val="none"/>
              </w:rPr>
            </w:pPr>
          </w:p>
        </w:tc>
        <w:tc>
          <w:tcPr>
            <w:tcW w:w="3216" w:type="dxa"/>
            <w:tcBorders>
              <w:top w:val="single" w:color="auto" w:sz="4" w:space="0"/>
              <w:left w:val="single" w:color="auto" w:sz="4" w:space="0"/>
              <w:bottom w:val="single" w:color="auto" w:sz="12" w:space="0"/>
              <w:right w:val="single" w:color="auto" w:sz="4" w:space="0"/>
            </w:tcBorders>
            <w:shd w:val="clear" w:color="auto" w:fill="auto"/>
            <w:vAlign w:val="center"/>
          </w:tcPr>
          <w:p w14:paraId="491150EF">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snapToGrid w:val="0"/>
                <w:color w:val="000000"/>
                <w:kern w:val="0"/>
                <w:sz w:val="18"/>
                <w:szCs w:val="18"/>
                <w:u w:val="none"/>
                <w:lang w:val="en-US" w:eastAsia="zh-CN" w:bidi="ar"/>
              </w:rPr>
              <w:t>合计（含税）：</w:t>
            </w:r>
          </w:p>
        </w:tc>
        <w:tc>
          <w:tcPr>
            <w:tcW w:w="4377" w:type="dxa"/>
            <w:gridSpan w:val="5"/>
            <w:tcBorders>
              <w:top w:val="single" w:color="auto" w:sz="4" w:space="0"/>
              <w:left w:val="single" w:color="auto" w:sz="4" w:space="0"/>
              <w:bottom w:val="single" w:color="auto" w:sz="12" w:space="0"/>
              <w:right w:val="single" w:color="auto" w:sz="12" w:space="0"/>
            </w:tcBorders>
            <w:shd w:val="clear" w:color="auto" w:fill="auto"/>
            <w:vAlign w:val="center"/>
          </w:tcPr>
          <w:p w14:paraId="5A9432F9">
            <w:pPr>
              <w:snapToGrid w:val="0"/>
              <w:ind w:left="0" w:leftChars="0" w:right="0" w:rightChars="0" w:firstLine="0" w:firstLineChars="0"/>
              <w:jc w:val="center"/>
              <w:rPr>
                <w:rFonts w:hint="eastAsia" w:ascii="宋体" w:hAnsi="宋体" w:eastAsia="宋体" w:cs="宋体"/>
                <w:b/>
                <w:i w:val="0"/>
                <w:iCs w:val="0"/>
                <w:color w:val="000000"/>
                <w:sz w:val="18"/>
                <w:szCs w:val="18"/>
                <w:u w:val="none"/>
              </w:rPr>
            </w:pPr>
          </w:p>
        </w:tc>
      </w:tr>
    </w:tbl>
    <w:p w14:paraId="2318D287">
      <w:pPr>
        <w:spacing w:line="440" w:lineRule="exact"/>
        <w:jc w:val="center"/>
        <w:rPr>
          <w:rFonts w:hint="default" w:ascii="仿宋" w:hAnsi="仿宋" w:eastAsia="仿宋"/>
          <w:b/>
          <w:bCs/>
          <w:color w:val="000000"/>
          <w:sz w:val="32"/>
          <w:szCs w:val="32"/>
          <w:lang w:val="en-US" w:eastAsia="zh-CN"/>
        </w:rPr>
      </w:pPr>
    </w:p>
    <w:p w14:paraId="6D6EDFCA">
      <w:pPr>
        <w:spacing w:line="360" w:lineRule="auto"/>
        <w:jc w:val="center"/>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0631358B">
      <w:pPr>
        <w:spacing w:line="420" w:lineRule="auto"/>
        <w:jc w:val="right"/>
        <w:rPr>
          <w:rFonts w:hint="eastAsia" w:ascii="仿宋" w:hAnsi="仿宋" w:eastAsia="仿宋"/>
          <w:color w:val="000000"/>
          <w:sz w:val="24"/>
          <w:szCs w:val="32"/>
        </w:rPr>
      </w:pPr>
      <w:r>
        <w:rPr>
          <w:rFonts w:hint="eastAsia" w:ascii="仿宋" w:hAnsi="仿宋" w:eastAsia="仿宋"/>
          <w:color w:val="000000"/>
          <w:sz w:val="24"/>
          <w:szCs w:val="32"/>
        </w:rPr>
        <w:t>日期：</w:t>
      </w:r>
      <w:r>
        <w:rPr>
          <w:rFonts w:ascii="仿宋" w:hAnsi="仿宋" w:eastAsia="仿宋"/>
          <w:color w:val="000000"/>
          <w:sz w:val="24"/>
          <w:szCs w:val="32"/>
        </w:rPr>
        <w:t>202</w:t>
      </w:r>
      <w:r>
        <w:rPr>
          <w:rFonts w:hint="eastAsia" w:ascii="仿宋" w:hAnsi="仿宋" w:eastAsia="仿宋"/>
          <w:color w:val="000000"/>
          <w:sz w:val="24"/>
          <w:szCs w:val="32"/>
          <w:lang w:val="en-US" w:eastAsia="zh-CN"/>
        </w:rPr>
        <w:t>6</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2A4428DE">
      <w:pPr>
        <w:spacing w:line="420" w:lineRule="auto"/>
        <w:jc w:val="right"/>
        <w:rPr>
          <w:rFonts w:hint="eastAsia" w:ascii="仿宋" w:hAnsi="仿宋" w:eastAsia="仿宋"/>
          <w:color w:val="000000"/>
          <w:sz w:val="24"/>
          <w:szCs w:val="32"/>
        </w:rPr>
      </w:pPr>
    </w:p>
    <w:p w14:paraId="52B26330">
      <w:bookmarkStart w:id="1" w:name="_GoBack"/>
      <w:bookmarkEnd w:id="1"/>
    </w:p>
    <w:sectPr>
      <w:head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